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A8" w:rsidRDefault="00C525A8" w:rsidP="00C525A8">
      <w:pPr>
        <w:pStyle w:val="NormaleWeb"/>
        <w:shd w:val="clear" w:color="auto" w:fill="FFFFFF"/>
        <w:spacing w:line="300" w:lineRule="auto"/>
        <w:jc w:val="center"/>
        <w:rPr>
          <w:rStyle w:val="Enfasigrassetto"/>
          <w:rFonts w:ascii="Verdana" w:hAnsi="Verdana"/>
          <w:color w:val="333333"/>
          <w:sz w:val="15"/>
          <w:szCs w:val="15"/>
        </w:rPr>
      </w:pPr>
      <w:r>
        <w:rPr>
          <w:rStyle w:val="Enfasigrassetto"/>
          <w:rFonts w:ascii="Verdana" w:hAnsi="Verdana"/>
          <w:color w:val="333333"/>
          <w:sz w:val="15"/>
          <w:szCs w:val="15"/>
        </w:rPr>
        <w:t>ARTICOLI 9 E 10 LEGGE 220/2012</w:t>
      </w:r>
      <w:bookmarkStart w:id="0" w:name="_GoBack"/>
      <w:bookmarkEnd w:id="0"/>
    </w:p>
    <w:p w:rsidR="00C525A8" w:rsidRDefault="00C525A8" w:rsidP="00C525A8">
      <w:pPr>
        <w:pStyle w:val="NormaleWeb"/>
        <w:shd w:val="clear" w:color="auto" w:fill="FFFFFF"/>
        <w:spacing w:line="300" w:lineRule="auto"/>
        <w:rPr>
          <w:rStyle w:val="Enfasigrassetto"/>
          <w:rFonts w:ascii="Verdana" w:hAnsi="Verdana"/>
          <w:color w:val="333333"/>
          <w:sz w:val="15"/>
          <w:szCs w:val="15"/>
        </w:rPr>
      </w:pPr>
    </w:p>
    <w:p w:rsidR="00C525A8" w:rsidRDefault="00C525A8" w:rsidP="00C525A8">
      <w:pPr>
        <w:pStyle w:val="NormaleWeb"/>
        <w:shd w:val="clear" w:color="auto" w:fill="FFFFFF"/>
        <w:spacing w:line="300" w:lineRule="auto"/>
        <w:rPr>
          <w:rStyle w:val="Enfasigrassetto"/>
          <w:rFonts w:ascii="Verdana" w:hAnsi="Verdana"/>
          <w:color w:val="333333"/>
          <w:sz w:val="15"/>
          <w:szCs w:val="15"/>
        </w:rPr>
      </w:pPr>
    </w:p>
    <w:p w:rsidR="00C525A8" w:rsidRDefault="00C525A8" w:rsidP="00C525A8">
      <w:pPr>
        <w:pStyle w:val="NormaleWeb"/>
        <w:shd w:val="clear" w:color="auto" w:fill="FFFFFF"/>
        <w:spacing w:line="300" w:lineRule="auto"/>
        <w:rPr>
          <w:rFonts w:ascii="Verdana" w:hAnsi="Verdana"/>
          <w:color w:val="333333"/>
          <w:sz w:val="15"/>
          <w:szCs w:val="15"/>
        </w:rPr>
      </w:pPr>
      <w:r>
        <w:rPr>
          <w:rStyle w:val="Enfasigrassetto"/>
          <w:rFonts w:ascii="Verdana" w:hAnsi="Verdana"/>
          <w:color w:val="333333"/>
          <w:sz w:val="15"/>
          <w:szCs w:val="15"/>
        </w:rPr>
        <w:t>Gli articoli 9 e 10</w:t>
      </w:r>
      <w:r>
        <w:rPr>
          <w:rFonts w:ascii="Verdana" w:hAnsi="Verdana"/>
          <w:color w:val="333333"/>
          <w:sz w:val="15"/>
          <w:szCs w:val="15"/>
        </w:rPr>
        <w:t> intervengono sulla disciplina relativa all'amministratore di condominio.</w:t>
      </w:r>
    </w:p>
    <w:p w:rsidR="00C525A8" w:rsidRDefault="00C525A8" w:rsidP="00C525A8">
      <w:pPr>
        <w:pStyle w:val="NormaleWeb"/>
        <w:shd w:val="clear" w:color="auto" w:fill="FFFFFF"/>
        <w:spacing w:line="300" w:lineRule="auto"/>
        <w:rPr>
          <w:rFonts w:ascii="Verdana" w:hAnsi="Verdana"/>
          <w:color w:val="333333"/>
          <w:sz w:val="15"/>
          <w:szCs w:val="15"/>
        </w:rPr>
      </w:pPr>
      <w:r>
        <w:rPr>
          <w:rStyle w:val="Enfasigrassetto"/>
          <w:rFonts w:ascii="Verdana" w:hAnsi="Verdana"/>
          <w:color w:val="333333"/>
          <w:sz w:val="15"/>
          <w:szCs w:val="15"/>
        </w:rPr>
        <w:t>L'articolo 9 novella l'articolo 1129 del codice civile</w:t>
      </w:r>
      <w:r>
        <w:rPr>
          <w:rFonts w:ascii="Verdana" w:hAnsi="Verdana"/>
          <w:color w:val="333333"/>
          <w:sz w:val="15"/>
          <w:szCs w:val="15"/>
        </w:rPr>
        <w:t> ora nuovamente rubricato "Nomina, revoca e obblighi dell'amministratore".</w:t>
      </w:r>
      <w:r>
        <w:rPr>
          <w:rFonts w:ascii="Verdana" w:hAnsi="Verdana"/>
          <w:color w:val="333333"/>
          <w:sz w:val="15"/>
          <w:szCs w:val="15"/>
        </w:rPr>
        <w:br/>
        <w:t>Il nuovo articolo 1129 prevede numerose novità. Qui di seguito si segnalano le principali:</w:t>
      </w:r>
      <w:r>
        <w:rPr>
          <w:rFonts w:ascii="Verdana" w:hAnsi="Verdana"/>
          <w:color w:val="333333"/>
          <w:sz w:val="15"/>
          <w:szCs w:val="15"/>
        </w:rPr>
        <w:br/>
        <w:t>- Si prevede che la nomina dell'amministratore debba essere effettuata quando i condomini sono più di otto  e che il ricorso in caso di mancata nomina possa essere avviato, oltre che da un condomino, anche dall'amministratore dimissionario.</w:t>
      </w:r>
      <w:r>
        <w:rPr>
          <w:rFonts w:ascii="Verdana" w:hAnsi="Verdana"/>
          <w:color w:val="333333"/>
          <w:sz w:val="15"/>
          <w:szCs w:val="15"/>
        </w:rPr>
        <w:br/>
        <w:t>- L'introduzione, in capo all'amministratore, di una serie di specifici obblighi da assolvere (in particolare, comunicazione di dati anagrafici, professionali e fiscali, obbligo di pubblicità della documentazione amministrativa condominiale, affissione nel condominio del nome, recapito e numeri telefonici dell'amministratore) a fini di trasparenza, verifica della qualifica professionale e controllo del suo operato.</w:t>
      </w:r>
      <w:r>
        <w:rPr>
          <w:rFonts w:ascii="Verdana" w:hAnsi="Verdana"/>
          <w:color w:val="333333"/>
          <w:sz w:val="15"/>
          <w:szCs w:val="15"/>
        </w:rPr>
        <w:br/>
        <w:t>- La possibilità di subordinare la nomina dell'amministratore alla presentazione di una polizza individuale di responsabilità civile per gli atti compiuti nell'esercizio del mandato. Peraltro l'amministratore è tenuto ad adeguare i massimali della polizza qualora siano deliberati lavori straordinari.</w:t>
      </w:r>
      <w:r>
        <w:rPr>
          <w:rFonts w:ascii="Verdana" w:hAnsi="Verdana"/>
          <w:color w:val="333333"/>
          <w:sz w:val="15"/>
          <w:szCs w:val="15"/>
        </w:rPr>
        <w:br/>
        <w:t>- Apertura di un c/c bancario o postale a nome del condominio sul quale movimentare in via esclusiva le somme ricevute o erogate per conto del condominio stesso; possibilità di tracciabilità e controllo da parte del singolo condomino, "per il tramite dell'amministratore"</w:t>
      </w:r>
    </w:p>
    <w:p w:rsidR="00C525A8" w:rsidRDefault="00C525A8" w:rsidP="00C525A8">
      <w:pPr>
        <w:pStyle w:val="NormaleWeb"/>
        <w:shd w:val="clear" w:color="auto" w:fill="FFFFFF"/>
        <w:spacing w:line="300" w:lineRule="auto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L'obbligo di agire con richiesta di decreto ingiuntivo, entro sei mesi dalla chiusura dell'esercizio di riferimento  per la riscossione forzosa delle quote condominiali, fatta salva l'espressa dispensa ottenuta dall'assemblea.</w:t>
      </w:r>
    </w:p>
    <w:p w:rsidR="00C525A8" w:rsidRDefault="00C525A8" w:rsidP="00C525A8">
      <w:pPr>
        <w:pStyle w:val="NormaleWeb"/>
        <w:shd w:val="clear" w:color="auto" w:fill="FFFFFF"/>
        <w:spacing w:line="300" w:lineRule="auto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Tra le numerose ipotesi di revoca, si segnalano l'omissione del rendiconto di gestione per un solo anno (attualmente 2 anni); la mancata apertura del conto del condominio; l'aver acconsentito, per un credito insoddisfatto, alla cancellazione di formalità eseguite nei registi immobiliari a tutela dei condomini; l'inerzia nel seguire l'azione giudiziaria finalizzata alla riscossione forzosa delle quote condominiali.</w:t>
      </w:r>
    </w:p>
    <w:p w:rsidR="00C525A8" w:rsidRDefault="00C525A8" w:rsidP="00C525A8">
      <w:pPr>
        <w:pStyle w:val="NormaleWeb"/>
        <w:shd w:val="clear" w:color="auto" w:fill="FFFFFF"/>
        <w:spacing w:line="300" w:lineRule="auto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br/>
      </w:r>
      <w:r>
        <w:rPr>
          <w:rStyle w:val="Enfasigrassetto"/>
          <w:rFonts w:ascii="Verdana" w:hAnsi="Verdana"/>
          <w:color w:val="333333"/>
          <w:sz w:val="15"/>
          <w:szCs w:val="15"/>
        </w:rPr>
        <w:t>L'articolo 10</w:t>
      </w:r>
      <w:r>
        <w:rPr>
          <w:rFonts w:ascii="Verdana" w:hAnsi="Verdana"/>
          <w:color w:val="333333"/>
          <w:sz w:val="15"/>
          <w:szCs w:val="15"/>
        </w:rPr>
        <w:t> integra la formulazione dell'articolo 1130 del codice civile, in materia di attribuzioni dell'amministratore.</w:t>
      </w:r>
      <w:r>
        <w:rPr>
          <w:rFonts w:ascii="Verdana" w:hAnsi="Verdana"/>
          <w:color w:val="333333"/>
          <w:sz w:val="15"/>
          <w:szCs w:val="15"/>
        </w:rPr>
        <w:br/>
        <w:t>L'art. 1130, nel testo vigente, prevede le attuali attribuzioni dell'amministratore.</w:t>
      </w:r>
      <w:r>
        <w:rPr>
          <w:rFonts w:ascii="Verdana" w:hAnsi="Verdana"/>
          <w:color w:val="333333"/>
          <w:sz w:val="15"/>
          <w:szCs w:val="15"/>
        </w:rPr>
        <w:br/>
        <w:t>L'amministratore deve:</w:t>
      </w:r>
      <w:r>
        <w:rPr>
          <w:rFonts w:ascii="Verdana" w:hAnsi="Verdana"/>
          <w:color w:val="333333"/>
          <w:sz w:val="15"/>
          <w:szCs w:val="15"/>
        </w:rPr>
        <w:br/>
        <w:t>- eseguire le deliberazioni dell'assemblea dei condomini e curare l'osservanza del regolamento di condominio;</w:t>
      </w:r>
      <w:r>
        <w:rPr>
          <w:rFonts w:ascii="Verdana" w:hAnsi="Verdana"/>
          <w:color w:val="333333"/>
          <w:sz w:val="15"/>
          <w:szCs w:val="15"/>
        </w:rPr>
        <w:br/>
        <w:t>- disciplinare l'uso delle cose comuni e la prestazione dei servizi nell'interesse comune, in modo che ne sia assicurato il miglior godimento a tutti i condomini;</w:t>
      </w:r>
      <w:r>
        <w:rPr>
          <w:rFonts w:ascii="Verdana" w:hAnsi="Verdana"/>
          <w:color w:val="333333"/>
          <w:sz w:val="15"/>
          <w:szCs w:val="15"/>
        </w:rPr>
        <w:br/>
        <w:t>- riscuotere i contributi ed erogare le spese occorrenti per la manutenzione ordinaria delle parti comuni dell'edificio e per l'esercizio dei servizi comuni;</w:t>
      </w:r>
      <w:r>
        <w:rPr>
          <w:rFonts w:ascii="Verdana" w:hAnsi="Verdana"/>
          <w:color w:val="333333"/>
          <w:sz w:val="15"/>
          <w:szCs w:val="15"/>
        </w:rPr>
        <w:br/>
        <w:t>- compiere gli atti conservativi dei diritti inerenti alle parti comuni dell'edificio.</w:t>
      </w:r>
      <w:r>
        <w:rPr>
          <w:rFonts w:ascii="Verdana" w:hAnsi="Verdana"/>
          <w:color w:val="333333"/>
          <w:sz w:val="15"/>
          <w:szCs w:val="15"/>
        </w:rPr>
        <w:br/>
        <w:t>Egli, alla fine di ciascun anno, deve rendere il conto della sua gestione.</w:t>
      </w:r>
    </w:p>
    <w:p w:rsidR="00C525A8" w:rsidRDefault="00C525A8" w:rsidP="00C525A8">
      <w:pPr>
        <w:pStyle w:val="NormaleWeb"/>
        <w:shd w:val="clear" w:color="auto" w:fill="FFFFFF"/>
        <w:spacing w:line="300" w:lineRule="auto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La novella articola detti obblighi, introducendone di nuovi con finalità di controllo dell'operato dell'amministratore.</w:t>
      </w:r>
      <w:r>
        <w:rPr>
          <w:rFonts w:ascii="Verdana" w:hAnsi="Verdana"/>
          <w:color w:val="333333"/>
          <w:sz w:val="15"/>
          <w:szCs w:val="15"/>
        </w:rPr>
        <w:br/>
        <w:t>Come novità, si segnalano la "esplicita" previsione delle seguenti attribuzioni dell'amministratore:</w:t>
      </w:r>
      <w:r>
        <w:rPr>
          <w:rFonts w:ascii="Verdana" w:hAnsi="Verdana"/>
          <w:color w:val="333333"/>
          <w:sz w:val="15"/>
          <w:szCs w:val="15"/>
        </w:rPr>
        <w:br/>
        <w:t>L'esecuzione degli adempimenti fiscali</w:t>
      </w:r>
      <w:r>
        <w:rPr>
          <w:rFonts w:ascii="Verdana" w:hAnsi="Verdana"/>
          <w:color w:val="333333"/>
          <w:sz w:val="15"/>
          <w:szCs w:val="15"/>
        </w:rPr>
        <w:br/>
        <w:t>Si tratta dell'obbligo di tenuta della contabilità e di rispondere a eventuali richieste degli Uffici finanziari in relazione a dati, notizie e documenti relativi alla gestione condominiale; di comunicare annualmente all'anagrafe tributaria l'ammontare dei beni e servizi acquistati dal condominio e i dati identificativi dei relativi fornitori; dell'obbligo di ritenuta d'acconto Irpef sui</w:t>
      </w:r>
      <w:r>
        <w:rPr>
          <w:rFonts w:ascii="Verdana" w:hAnsi="Verdana"/>
          <w:color w:val="333333"/>
          <w:sz w:val="15"/>
          <w:szCs w:val="15"/>
        </w:rPr>
        <w:br/>
        <w:t>pagamenti effettuati dal condominio nonché sui compensi professionali percepiti</w:t>
      </w:r>
      <w:r>
        <w:rPr>
          <w:rFonts w:ascii="Verdana" w:hAnsi="Verdana"/>
          <w:color w:val="333333"/>
          <w:sz w:val="15"/>
          <w:szCs w:val="15"/>
        </w:rPr>
        <w:br/>
        <w:t>dallo stesso amministratore.</w:t>
      </w:r>
      <w:r>
        <w:rPr>
          <w:rFonts w:ascii="Verdana" w:hAnsi="Verdana"/>
          <w:color w:val="333333"/>
          <w:sz w:val="15"/>
          <w:szCs w:val="15"/>
        </w:rPr>
        <w:br/>
        <w:t>La tenuta di due nuovi registri obbligatori:</w:t>
      </w:r>
      <w:r>
        <w:rPr>
          <w:rFonts w:ascii="Verdana" w:hAnsi="Verdana"/>
          <w:color w:val="333333"/>
          <w:sz w:val="15"/>
          <w:szCs w:val="15"/>
        </w:rPr>
        <w:br/>
        <w:t>- il registro dell'anagrafe condominiale contenente tutti i dati anagrafici e fiscali dei condomini, la sussistenza di eventuali diritti reali e di godimento nonché i dati catastali delle singole unità immobiliari;</w:t>
      </w:r>
      <w:r>
        <w:rPr>
          <w:rFonts w:ascii="Verdana" w:hAnsi="Verdana"/>
          <w:color w:val="333333"/>
          <w:sz w:val="15"/>
          <w:szCs w:val="15"/>
        </w:rPr>
        <w:br/>
        <w:t>- il registro di contabilità (anche informatico) dove sono annotati, entro trenta giorni , movimenti di cassa sul conto corrente dedicato al condominio.</w:t>
      </w:r>
      <w:r>
        <w:rPr>
          <w:rFonts w:ascii="Verdana" w:hAnsi="Verdana"/>
          <w:color w:val="333333"/>
          <w:sz w:val="15"/>
          <w:szCs w:val="15"/>
        </w:rPr>
        <w:br/>
        <w:t xml:space="preserve">Il registro del verbale delle assemblee, (cui andrebbe, ora, allegato il regolamento di condominio, in quanto adottato) ed il registro di nomina e revoca dell'amministratore (che dovrebbe, ora, contenere le relative variazioni cronologiche e gli estremi di eventuali decreti giudiziari di nomina e revoca) sono documenti di cui è già prevista l'esistenza e la tenuta da parte dell'amministratore ai sensi, rispettivamente, dell'art. 1136, </w:t>
      </w:r>
      <w:proofErr w:type="spellStart"/>
      <w:r>
        <w:rPr>
          <w:rFonts w:ascii="Verdana" w:hAnsi="Verdana"/>
          <w:color w:val="333333"/>
          <w:sz w:val="15"/>
          <w:szCs w:val="15"/>
        </w:rPr>
        <w:t>u.c.</w:t>
      </w:r>
      <w:proofErr w:type="spellEnd"/>
      <w:r>
        <w:rPr>
          <w:rFonts w:ascii="Verdana" w:hAnsi="Verdana"/>
          <w:color w:val="333333"/>
          <w:sz w:val="15"/>
          <w:szCs w:val="15"/>
        </w:rPr>
        <w:t xml:space="preserve"> e dall'art. 1129, ultimo comma.</w:t>
      </w:r>
      <w:r>
        <w:rPr>
          <w:rFonts w:ascii="Verdana" w:hAnsi="Verdana"/>
          <w:color w:val="333333"/>
          <w:sz w:val="15"/>
          <w:szCs w:val="15"/>
        </w:rPr>
        <w:br/>
        <w:t xml:space="preserve">Sono inoltre previste le seguenti ulteriori attribuzioni: la conservazione di tutta la documentazione inerente la gestione del condominio ed i rapporti con i singoli condomini; la consegna al condomino che ne faccia richiesta dell'attestazione dei pagamenti degli oneri </w:t>
      </w:r>
      <w:proofErr w:type="spellStart"/>
      <w:r>
        <w:rPr>
          <w:rFonts w:ascii="Verdana" w:hAnsi="Verdana"/>
          <w:color w:val="333333"/>
          <w:sz w:val="15"/>
          <w:szCs w:val="15"/>
        </w:rPr>
        <w:t>condominali</w:t>
      </w:r>
      <w:proofErr w:type="spellEnd"/>
      <w:r>
        <w:rPr>
          <w:rFonts w:ascii="Verdana" w:hAnsi="Verdana"/>
          <w:color w:val="333333"/>
          <w:sz w:val="15"/>
          <w:szCs w:val="15"/>
        </w:rPr>
        <w:t xml:space="preserve"> e delle eventuali liti in corso; la convocazione dell'assemblea dopo la redazione del rendiconto annuale della gestione (nelle nuove forme di cui all'art. 1130-bis, inserito dall'articolo 11 cui si rimanda) entro 180 giorni per l'approvazione.</w:t>
      </w:r>
    </w:p>
    <w:p w:rsidR="002B6A6F" w:rsidRDefault="002B6A6F"/>
    <w:sectPr w:rsidR="002B6A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A8"/>
    <w:rsid w:val="002079A4"/>
    <w:rsid w:val="002B6A6F"/>
    <w:rsid w:val="00AF3E9D"/>
    <w:rsid w:val="00C5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525A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525A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525A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525A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494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771124678">
                  <w:marLeft w:val="0"/>
                  <w:marRight w:val="0"/>
                  <w:marTop w:val="0"/>
                  <w:marBottom w:val="0"/>
                  <w:divBdr>
                    <w:top w:val="single" w:sz="24" w:space="8" w:color="B4B4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A116806</dc:creator>
  <cp:lastModifiedBy>A116806</cp:lastModifiedBy>
  <cp:revision>1</cp:revision>
  <dcterms:created xsi:type="dcterms:W3CDTF">2013-01-23T09:56:00Z</dcterms:created>
  <dcterms:modified xsi:type="dcterms:W3CDTF">2013-01-23T09:57:00Z</dcterms:modified>
</cp:coreProperties>
</file>